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F4" w:rsidRDefault="008E7846">
      <w:pPr>
        <w:pStyle w:val="Heading2"/>
        <w:jc w:val="center"/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32"/>
          <w:szCs w:val="32"/>
        </w:rPr>
        <w:t>Agenda Item Request</w:t>
      </w:r>
    </w:p>
    <w:p w:rsidR="006514F4" w:rsidRDefault="008E7846">
      <w:pPr>
        <w:jc w:val="center"/>
        <w:rPr>
          <w:sz w:val="22"/>
          <w:szCs w:val="22"/>
        </w:rPr>
      </w:pPr>
      <w:bookmarkStart w:id="2" w:name="_heading=h.30j0zll" w:colFirst="0" w:colLast="0"/>
      <w:bookmarkEnd w:id="2"/>
      <w:r>
        <w:rPr>
          <w:sz w:val="22"/>
          <w:szCs w:val="22"/>
        </w:rPr>
        <w:t>Community Corrections Partnership Executive Committee (CCP EC)</w:t>
      </w:r>
    </w:p>
    <w:p w:rsidR="006514F4" w:rsidRDefault="008E7846">
      <w:pPr>
        <w:jc w:val="center"/>
        <w:rPr>
          <w:i/>
          <w:color w:val="000000"/>
        </w:rPr>
      </w:pPr>
      <w:r>
        <w:rPr>
          <w:i/>
          <w:color w:val="000000"/>
        </w:rPr>
        <w:t>Note: Agenda item requests are due at least 5 (five) business days prior to CCP EC meeting.</w:t>
      </w:r>
    </w:p>
    <w:p w:rsidR="006514F4" w:rsidRDefault="006514F4">
      <w:pPr>
        <w:rPr>
          <w:i/>
          <w:color w:val="000000"/>
        </w:rPr>
      </w:pPr>
    </w:p>
    <w:p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  <w:t>Community Corrections Partnership Executive Committee (CCP EC)</w:t>
      </w:r>
    </w:p>
    <w:p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c/o</w:t>
      </w:r>
      <w:proofErr w:type="gramEnd"/>
      <w:r>
        <w:rPr>
          <w:sz w:val="22"/>
          <w:szCs w:val="22"/>
        </w:rPr>
        <w:t xml:space="preserve"> Alameda County Probation Department</w:t>
      </w:r>
    </w:p>
    <w:p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Wendy Still, Chief Probation Officer</w:t>
      </w:r>
    </w:p>
    <w:p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1111 Jackson Street, P.O. Box 2059</w:t>
      </w:r>
    </w:p>
    <w:p w:rsidR="006514F4" w:rsidRDefault="008E784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Oakland, CA 94604-2059</w:t>
      </w:r>
    </w:p>
    <w:p w:rsidR="006514F4" w:rsidRDefault="006514F4">
      <w:pPr>
        <w:spacing w:before="0" w:after="0"/>
        <w:rPr>
          <w:sz w:val="22"/>
          <w:szCs w:val="22"/>
        </w:rPr>
      </w:pPr>
    </w:p>
    <w:p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Name</w:t>
      </w:r>
      <w:r>
        <w:rPr>
          <w:sz w:val="22"/>
          <w:szCs w:val="22"/>
        </w:rPr>
        <w:t>: Marlo Spooner.</w:t>
      </w:r>
    </w:p>
    <w:p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Title</w:t>
      </w:r>
      <w:r>
        <w:rPr>
          <w:sz w:val="22"/>
          <w:szCs w:val="22"/>
        </w:rPr>
        <w:t>: Chair</w:t>
      </w:r>
    </w:p>
    <w:p w:rsidR="006514F4" w:rsidRDefault="008E7846">
      <w:pPr>
        <w:spacing w:before="0" w:after="0"/>
        <w:ind w:left="720" w:hanging="72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Agency/Organization/Department</w:t>
      </w:r>
      <w:r>
        <w:rPr>
          <w:sz w:val="22"/>
          <w:szCs w:val="22"/>
        </w:rPr>
        <w:t>: CAB</w:t>
      </w:r>
    </w:p>
    <w:p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Address</w:t>
      </w:r>
      <w:r>
        <w:rPr>
          <w:sz w:val="22"/>
          <w:szCs w:val="22"/>
        </w:rPr>
        <w:t>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N/A</w:t>
      </w:r>
    </w:p>
    <w:p w:rsidR="006514F4" w:rsidRDefault="008E7846">
      <w:pPr>
        <w:spacing w:before="0" w:after="0"/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Phone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#: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510-575-1502.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Alternate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Phone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#:</w:t>
      </w:r>
      <w:r>
        <w:rPr>
          <w:sz w:val="22"/>
          <w:szCs w:val="22"/>
        </w:rPr>
        <w:t xml:space="preserve"> </w:t>
      </w:r>
      <w:r>
        <w:t>Click here to enter text.</w:t>
      </w:r>
    </w:p>
    <w:p w:rsidR="006514F4" w:rsidRDefault="008E7846">
      <w:pPr>
        <w:spacing w:before="0" w:after="0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Email</w:t>
      </w:r>
      <w:r>
        <w:rPr>
          <w:sz w:val="22"/>
          <w:szCs w:val="22"/>
        </w:rPr>
        <w:t>: kamarlo30@gmail.com</w:t>
      </w:r>
    </w:p>
    <w:p w:rsidR="006514F4" w:rsidRDefault="006514F4">
      <w:pPr>
        <w:spacing w:before="0" w:after="0"/>
        <w:rPr>
          <w:sz w:val="22"/>
          <w:szCs w:val="22"/>
        </w:rPr>
      </w:pPr>
    </w:p>
    <w:p w:rsidR="006514F4" w:rsidRDefault="008E7846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193155" cy="254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9423" y="378000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5B9BD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193155" cy="254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15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14F4" w:rsidRDefault="008E7846">
      <w:pPr>
        <w:rPr>
          <w:sz w:val="22"/>
          <w:szCs w:val="22"/>
        </w:rPr>
      </w:pPr>
      <w:r>
        <w:rPr>
          <w:sz w:val="24"/>
          <w:szCs w:val="24"/>
        </w:rPr>
        <w:t xml:space="preserve">Submitted are the following agenda item(s) to be considered by the Community Corrections Partnership Executive Committee (CCP EC) </w:t>
      </w:r>
      <w:r>
        <w:rPr>
          <w:rFonts w:ascii="Times New Roman" w:hAnsi="Times New Roman"/>
          <w:sz w:val="24"/>
          <w:szCs w:val="24"/>
        </w:rPr>
        <w:t>at the meeting on February 2, 2021 at 11 a.m.</w:t>
      </w:r>
    </w:p>
    <w:p w:rsidR="006514F4" w:rsidRDefault="008E7846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</w:t>
      </w:r>
      <w:r>
        <w:rPr>
          <w:b/>
          <w:sz w:val="24"/>
          <w:szCs w:val="24"/>
        </w:rPr>
        <w:t xml:space="preserve">le/Subject Description: </w:t>
      </w:r>
      <w:r>
        <w:rPr>
          <w:rFonts w:ascii="Times New Roman" w:hAnsi="Times New Roman"/>
          <w:b/>
          <w:sz w:val="24"/>
          <w:szCs w:val="24"/>
        </w:rPr>
        <w:t>Updated Pilot Program</w:t>
      </w:r>
    </w:p>
    <w:p w:rsidR="006514F4" w:rsidRDefault="008E7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Background (brief): </w:t>
      </w:r>
      <w:r>
        <w:rPr>
          <w:rFonts w:ascii="Times New Roman" w:hAnsi="Times New Roman"/>
          <w:sz w:val="24"/>
          <w:szCs w:val="24"/>
        </w:rPr>
        <w:t xml:space="preserve">The CAB recommends the following Pilot Program as relationship building between all branches of Law Enforcement, District Attorney, Sheriff, Probation, Judicial Branch, and the Re-entry and Realignment Community and its allies. We recommend that monies be </w:t>
      </w:r>
      <w:r>
        <w:rPr>
          <w:rFonts w:ascii="Times New Roman" w:hAnsi="Times New Roman"/>
          <w:sz w:val="24"/>
          <w:szCs w:val="24"/>
        </w:rPr>
        <w:t xml:space="preserve">directed to hire paid consultants to speak to, encourage, de-escalate issues, motivate, and assist those that are mandated to </w:t>
      </w:r>
      <w:proofErr w:type="gramStart"/>
      <w:r>
        <w:rPr>
          <w:rFonts w:ascii="Times New Roman" w:hAnsi="Times New Roman"/>
          <w:sz w:val="24"/>
          <w:szCs w:val="24"/>
        </w:rPr>
        <w:t>supervised</w:t>
      </w:r>
      <w:proofErr w:type="gramEnd"/>
      <w:r>
        <w:rPr>
          <w:rFonts w:ascii="Times New Roman" w:hAnsi="Times New Roman"/>
          <w:sz w:val="24"/>
          <w:szCs w:val="24"/>
        </w:rPr>
        <w:t xml:space="preserve"> probation and that are system impacted. The consultants must be able to prove rehabilitation and must be from Alameda C</w:t>
      </w:r>
      <w:r>
        <w:rPr>
          <w:rFonts w:ascii="Times New Roman" w:hAnsi="Times New Roman"/>
          <w:sz w:val="24"/>
          <w:szCs w:val="24"/>
        </w:rPr>
        <w:t xml:space="preserve">ounty. </w:t>
      </w:r>
    </w:p>
    <w:p w:rsidR="006514F4" w:rsidRDefault="008E7846"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Fiscal Impact, if any: </w:t>
      </w:r>
      <w:r>
        <w:rPr>
          <w:rFonts w:ascii="Times New Roman" w:hAnsi="Times New Roman"/>
          <w:sz w:val="24"/>
          <w:szCs w:val="24"/>
        </w:rPr>
        <w:t xml:space="preserve">At the September 2020 CAB’S meeting, CAB members were informed that, “$6.8 million remains to be allocated. $2 million is also held in trust.  If CAB wanted to put something forward, this is the amount of monies ($6.8 and $2 </w:t>
      </w:r>
      <w:r>
        <w:rPr>
          <w:rFonts w:ascii="Times New Roman" w:hAnsi="Times New Roman"/>
          <w:sz w:val="24"/>
          <w:szCs w:val="24"/>
        </w:rPr>
        <w:t>million) available. This proposal requests a total of $425,000, which includes the cost of 5 consultants, one for each district, totaling $375,000 and administrative overhead of $50,000. We have also thought about how this would look long term with more co</w:t>
      </w:r>
      <w:r>
        <w:rPr>
          <w:rFonts w:ascii="Times New Roman" w:hAnsi="Times New Roman"/>
          <w:sz w:val="24"/>
          <w:szCs w:val="24"/>
        </w:rPr>
        <w:t>verage of the county and including a total of 14 workers. Complete wrap around services.</w:t>
      </w:r>
    </w:p>
    <w:p w:rsidR="006514F4" w:rsidRDefault="006514F4">
      <w:pPr>
        <w:spacing w:before="0" w:after="120"/>
        <w:rPr>
          <w:rFonts w:ascii="Times New Roman" w:hAnsi="Times New Roman"/>
          <w:b/>
          <w:sz w:val="24"/>
          <w:szCs w:val="24"/>
          <w:u w:val="single"/>
        </w:rPr>
      </w:pPr>
    </w:p>
    <w:p w:rsidR="006514F4" w:rsidRDefault="008E7846">
      <w:pPr>
        <w:spacing w:before="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Measure effectiveness by way of Deliverables</w:t>
      </w:r>
      <w:r>
        <w:rPr>
          <w:rFonts w:ascii="Times New Roman" w:hAnsi="Times New Roman"/>
          <w:b/>
          <w:sz w:val="24"/>
          <w:szCs w:val="24"/>
        </w:rPr>
        <w:t xml:space="preserve">:  </w:t>
      </w:r>
    </w:p>
    <w:p w:rsidR="006514F4" w:rsidRDefault="008E7846">
      <w:pPr>
        <w:numPr>
          <w:ilvl w:val="0"/>
          <w:numId w:val="1"/>
        </w:num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Probationers enrolled in the program.</w:t>
      </w:r>
    </w:p>
    <w:p w:rsidR="006514F4" w:rsidRDefault="008E784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Point of contacts</w:t>
      </w:r>
    </w:p>
    <w:p w:rsidR="006514F4" w:rsidRDefault="008E784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Proven De-escalation actions.</w:t>
      </w:r>
    </w:p>
    <w:p w:rsidR="006514F4" w:rsidRDefault="008E784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Homelessness program and referral to housing</w:t>
      </w:r>
    </w:p>
    <w:p w:rsidR="006514F4" w:rsidRDefault="008E784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Reunification program and assessments, and referred to family reunification.</w:t>
      </w:r>
    </w:p>
    <w:p w:rsidR="006514F4" w:rsidRDefault="008E784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Assets for needs and re-assessment for assessment completion.</w:t>
      </w:r>
    </w:p>
    <w:p w:rsidR="006514F4" w:rsidRDefault="008E784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Expungement programs and preparedness.</w:t>
      </w:r>
    </w:p>
    <w:p w:rsidR="006514F4" w:rsidRDefault="008E7846">
      <w:pPr>
        <w:numPr>
          <w:ilvl w:val="0"/>
          <w:numId w:val="1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Statistics and analysis of progra</w:t>
      </w:r>
      <w:r>
        <w:rPr>
          <w:b/>
          <w:sz w:val="24"/>
          <w:szCs w:val="24"/>
          <w:u w:val="single"/>
        </w:rPr>
        <w:t>ms and comparison of various analytics.</w:t>
      </w:r>
    </w:p>
    <w:p w:rsidR="006514F4" w:rsidRDefault="008E7846">
      <w:pPr>
        <w:numPr>
          <w:ilvl w:val="0"/>
          <w:numId w:val="1"/>
        </w:numPr>
        <w:spacing w:before="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Intensive case management along with credible messengers.</w:t>
      </w:r>
    </w:p>
    <w:p w:rsidR="006514F4" w:rsidRDefault="008E7846">
      <w:pPr>
        <w:spacing w:before="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Distinguishing Characteristics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514F4" w:rsidRDefault="008E7846">
      <w:pPr>
        <w:numPr>
          <w:ilvl w:val="0"/>
          <w:numId w:val="2"/>
        </w:num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24/7 service—stuff just does not happen between the hours of 9-5.</w:t>
      </w:r>
    </w:p>
    <w:p w:rsidR="006514F4" w:rsidRDefault="008E7846">
      <w:pPr>
        <w:numPr>
          <w:ilvl w:val="0"/>
          <w:numId w:val="2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This service is designed for those who feel uncomfortable wo</w:t>
      </w:r>
      <w:r>
        <w:rPr>
          <w:b/>
          <w:sz w:val="24"/>
          <w:szCs w:val="24"/>
          <w:u w:val="single"/>
        </w:rPr>
        <w:t>rking with organizations.</w:t>
      </w:r>
    </w:p>
    <w:p w:rsidR="006514F4" w:rsidRDefault="008E7846">
      <w:pPr>
        <w:numPr>
          <w:ilvl w:val="0"/>
          <w:numId w:val="2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Clients can self-refer.</w:t>
      </w:r>
    </w:p>
    <w:p w:rsidR="006514F4" w:rsidRDefault="008E7846">
      <w:pPr>
        <w:numPr>
          <w:ilvl w:val="0"/>
          <w:numId w:val="2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Autonomy.</w:t>
      </w:r>
    </w:p>
    <w:p w:rsidR="006514F4" w:rsidRDefault="008E7846">
      <w:pPr>
        <w:numPr>
          <w:ilvl w:val="0"/>
          <w:numId w:val="2"/>
        </w:num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Better defined comprehensive wrap around resources.</w:t>
      </w:r>
    </w:p>
    <w:p w:rsidR="006514F4" w:rsidRDefault="008E7846">
      <w:pPr>
        <w:numPr>
          <w:ilvl w:val="0"/>
          <w:numId w:val="2"/>
        </w:numPr>
        <w:spacing w:before="0" w:after="3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Clients negotiate surrender </w:t>
      </w:r>
    </w:p>
    <w:p w:rsidR="006514F4" w:rsidRDefault="008E7846">
      <w:pPr>
        <w:spacing w:before="0" w:after="0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Agenda item is:</w:t>
      </w:r>
      <w:r>
        <w:rPr>
          <w:rFonts w:eastAsia="Calibri" w:cs="Calibri"/>
          <w:sz w:val="24"/>
          <w:szCs w:val="24"/>
        </w:rPr>
        <w:tab/>
      </w:r>
      <w:proofErr w:type="spellStart"/>
      <w:r>
        <w:rPr>
          <w:rFonts w:ascii="MS Gothic" w:eastAsia="MS Gothic" w:hAnsi="MS Gothic" w:cs="MS Gothic"/>
          <w:b/>
          <w:sz w:val="24"/>
          <w:szCs w:val="24"/>
        </w:rPr>
        <w:t>X</w:t>
      </w:r>
      <w:r>
        <w:rPr>
          <w:rFonts w:eastAsia="Calibri" w:cs="Calibri"/>
          <w:sz w:val="24"/>
          <w:szCs w:val="24"/>
        </w:rPr>
        <w:t>Discussion</w:t>
      </w:r>
      <w:proofErr w:type="spellEnd"/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proofErr w:type="spellStart"/>
      <w:r>
        <w:rPr>
          <w:rFonts w:ascii="MS Gothic" w:eastAsia="MS Gothic" w:hAnsi="MS Gothic" w:cs="MS Gothic"/>
          <w:b/>
          <w:sz w:val="24"/>
          <w:szCs w:val="24"/>
        </w:rPr>
        <w:t>X</w:t>
      </w:r>
      <w:r>
        <w:rPr>
          <w:rFonts w:eastAsia="Calibri" w:cs="Calibri"/>
          <w:sz w:val="24"/>
          <w:szCs w:val="24"/>
        </w:rPr>
        <w:t>Action</w:t>
      </w:r>
      <w:proofErr w:type="spellEnd"/>
    </w:p>
    <w:p w:rsidR="006514F4" w:rsidRDefault="008E78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Recommendation/Action to be </w:t>
      </w:r>
      <w:proofErr w:type="gramStart"/>
      <w:r>
        <w:rPr>
          <w:b/>
          <w:sz w:val="24"/>
          <w:szCs w:val="24"/>
        </w:rPr>
        <w:t>Taken</w:t>
      </w:r>
      <w:proofErr w:type="gramEnd"/>
      <w:r>
        <w:rPr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Forward to the Board of Supervisors</w:t>
      </w:r>
    </w:p>
    <w:p w:rsidR="006514F4" w:rsidRDefault="006514F4">
      <w:pPr>
        <w:rPr>
          <w:sz w:val="22"/>
          <w:szCs w:val="22"/>
        </w:rPr>
      </w:pPr>
    </w:p>
    <w:p w:rsidR="006514F4" w:rsidRDefault="006514F4">
      <w:pPr>
        <w:rPr>
          <w:sz w:val="22"/>
          <w:szCs w:val="22"/>
        </w:rPr>
      </w:pPr>
    </w:p>
    <w:p w:rsidR="006514F4" w:rsidRDefault="008E784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Signature</w:t>
      </w:r>
      <w:r>
        <w:rPr>
          <w:sz w:val="22"/>
          <w:szCs w:val="22"/>
        </w:rPr>
        <w:t>: _______Kamarlo Spooner_________________________</w:t>
      </w:r>
    </w:p>
    <w:p w:rsidR="006514F4" w:rsidRDefault="008E7846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>Print Name and Title</w:t>
      </w:r>
      <w:r>
        <w:rPr>
          <w:sz w:val="22"/>
          <w:szCs w:val="22"/>
        </w:rPr>
        <w:t xml:space="preserve">: Kamarlo Spooner </w:t>
      </w:r>
      <w:proofErr w:type="gramStart"/>
      <w:r>
        <w:rPr>
          <w:sz w:val="22"/>
          <w:szCs w:val="22"/>
        </w:rPr>
        <w:t>-  Chair</w:t>
      </w:r>
      <w:proofErr w:type="gramEnd"/>
      <w:r>
        <w:rPr>
          <w:sz w:val="22"/>
          <w:szCs w:val="22"/>
        </w:rPr>
        <w:t xml:space="preserve"> of CAB.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Date</w:t>
      </w:r>
      <w:r>
        <w:rPr>
          <w:sz w:val="22"/>
          <w:szCs w:val="22"/>
        </w:rPr>
        <w:t>: 01/26/2021</w:t>
      </w:r>
    </w:p>
    <w:sectPr w:rsidR="006514F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7846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8E78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F4" w:rsidRDefault="008E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 w:cs="Calibri"/>
        <w:color w:val="000000"/>
      </w:rPr>
    </w:pPr>
    <w:r>
      <w:rPr>
        <w:rFonts w:eastAsia="Calibri" w:cs="Calibri"/>
        <w:color w:val="000000"/>
      </w:rPr>
      <w:t>CCP EC Policies &amp; Procedures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7846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8E78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346"/>
    <w:multiLevelType w:val="multilevel"/>
    <w:tmpl w:val="ED5C8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A66BE0"/>
    <w:multiLevelType w:val="multilevel"/>
    <w:tmpl w:val="8EAAB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F4"/>
    <w:rsid w:val="006514F4"/>
    <w:rsid w:val="008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5CBF4-16BB-4585-9A4F-50A038B0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53"/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55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E5553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3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53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3E5553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0E05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C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453E"/>
    <w:rPr>
      <w:color w:val="808080"/>
    </w:rPr>
  </w:style>
  <w:style w:type="character" w:customStyle="1" w:styleId="Style1">
    <w:name w:val="Style1"/>
    <w:basedOn w:val="DefaultParagraphFont"/>
    <w:uiPriority w:val="1"/>
    <w:rsid w:val="008A3AC3"/>
    <w:rPr>
      <w:rFonts w:ascii="Calibri" w:hAnsi="Calibri"/>
      <w:b w:val="0"/>
      <w:sz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0Tkiv7QhR3vBg5T3vMyDSylPw==">AMUW2mV9/YF8+PbQ0RfCnl1XJQhDHjPW21plxIeIYyjOhCVLmHoLvGLFxVtWexD5bN1NtP7VZPJKVn4dxxU98BIiio/plHtN5IKZ0UrrYyiipvHILqGoIzP0I2z0c9jE2YUrhtiKfOVo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NPCA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Crosby, Neola, Probation</dc:creator>
  <cp:lastModifiedBy>npcauser</cp:lastModifiedBy>
  <cp:revision>2</cp:revision>
  <dcterms:created xsi:type="dcterms:W3CDTF">2021-01-25T23:50:00Z</dcterms:created>
  <dcterms:modified xsi:type="dcterms:W3CDTF">2021-01-25T23:50:00Z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0x0101006903FB27ED7F714BA755D005304E6E9A</vt:lpwstr>
  </property>
</Properties>
</file>