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75B3" w14:textId="77777777" w:rsidR="001848FF" w:rsidRDefault="001848FF" w:rsidP="00E92C08">
      <w:pPr>
        <w:spacing w:line="252" w:lineRule="auto"/>
        <w:rPr>
          <w:rFonts w:eastAsia="Times New Roman"/>
          <w:b/>
          <w:bCs/>
        </w:rPr>
      </w:pPr>
    </w:p>
    <w:p w14:paraId="0CD8C76F" w14:textId="77777777" w:rsidR="001848FF" w:rsidRDefault="001848FF" w:rsidP="00642D12">
      <w:pPr>
        <w:spacing w:line="252" w:lineRule="auto"/>
        <w:jc w:val="center"/>
        <w:rPr>
          <w:rFonts w:eastAsia="Times New Roman"/>
          <w:b/>
          <w:bCs/>
        </w:rPr>
      </w:pPr>
    </w:p>
    <w:p w14:paraId="016A1A9D" w14:textId="3FC4AC81" w:rsidR="00C65737" w:rsidRPr="00EC6FAB" w:rsidRDefault="00D13D52" w:rsidP="00EC6FAB">
      <w:pPr>
        <w:spacing w:line="252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Developing Recommendations for the Community Corrections Partnership</w:t>
      </w:r>
    </w:p>
    <w:p w14:paraId="28C11E09" w14:textId="248E9047" w:rsidR="00FE63F6" w:rsidRPr="00FE63F6" w:rsidRDefault="00FE63F6" w:rsidP="006C35F4">
      <w:pPr>
        <w:spacing w:line="252" w:lineRule="auto"/>
        <w:jc w:val="both"/>
        <w:rPr>
          <w:rFonts w:eastAsia="Times New Roman"/>
          <w:b/>
          <w:bCs/>
        </w:rPr>
      </w:pPr>
      <w:r w:rsidRPr="00FE63F6">
        <w:rPr>
          <w:rFonts w:eastAsia="Times New Roman"/>
          <w:b/>
          <w:bCs/>
        </w:rPr>
        <w:t xml:space="preserve">Background: </w:t>
      </w:r>
    </w:p>
    <w:p w14:paraId="695FAA43" w14:textId="69A6334A" w:rsidR="006C35F4" w:rsidRDefault="006C35F4" w:rsidP="006C35F4">
      <w:pPr>
        <w:spacing w:line="252" w:lineRule="auto"/>
        <w:jc w:val="both"/>
        <w:rPr>
          <w:rFonts w:eastAsia="Times New Roman"/>
        </w:rPr>
      </w:pPr>
      <w:r w:rsidRPr="006C35F4">
        <w:rPr>
          <w:rFonts w:eastAsia="Times New Roman"/>
        </w:rPr>
        <w:t>Recently a  Community Corrections Partnership Executive Committee  (CC</w:t>
      </w:r>
      <w:r w:rsidR="001B7B7D">
        <w:rPr>
          <w:rFonts w:eastAsia="Times New Roman"/>
        </w:rPr>
        <w:t>P</w:t>
      </w:r>
      <w:r w:rsidR="009B20D8">
        <w:rPr>
          <w:rFonts w:eastAsia="Times New Roman"/>
        </w:rPr>
        <w:t xml:space="preserve"> </w:t>
      </w:r>
      <w:r w:rsidRPr="006C35F4">
        <w:rPr>
          <w:rFonts w:eastAsia="Times New Roman"/>
        </w:rPr>
        <w:t xml:space="preserve">EC) Workgroup  was unable to reach a majority vote on an </w:t>
      </w:r>
      <w:r>
        <w:rPr>
          <w:rFonts w:eastAsia="Times New Roman"/>
        </w:rPr>
        <w:t>agendized item</w:t>
      </w:r>
      <w:r w:rsidRPr="006C35F4">
        <w:rPr>
          <w:rFonts w:eastAsia="Times New Roman"/>
        </w:rPr>
        <w:t xml:space="preserve">, and therefore did not make a recommendation to the CCP EC.  </w:t>
      </w:r>
      <w:r w:rsidR="00522BC8">
        <w:rPr>
          <w:rFonts w:eastAsia="Times New Roman"/>
        </w:rPr>
        <w:t>Neither t</w:t>
      </w:r>
      <w:r>
        <w:rPr>
          <w:rFonts w:eastAsia="Times New Roman"/>
        </w:rPr>
        <w:t>he current CCP</w:t>
      </w:r>
      <w:r w:rsidR="007C3CE1">
        <w:rPr>
          <w:rFonts w:eastAsia="Times New Roman"/>
        </w:rPr>
        <w:t xml:space="preserve"> EC</w:t>
      </w:r>
      <w:r>
        <w:rPr>
          <w:rFonts w:eastAsia="Times New Roman"/>
        </w:rPr>
        <w:t xml:space="preserve"> Policies and Procedures</w:t>
      </w:r>
      <w:r w:rsidR="00E9230E">
        <w:rPr>
          <w:rFonts w:eastAsia="Times New Roman"/>
        </w:rPr>
        <w:t xml:space="preserve"> </w:t>
      </w:r>
      <w:r w:rsidR="00C65737">
        <w:rPr>
          <w:rFonts w:eastAsia="Times New Roman"/>
        </w:rPr>
        <w:t>nor</w:t>
      </w:r>
      <w:r w:rsidR="00E9230E">
        <w:rPr>
          <w:rFonts w:eastAsia="Times New Roman"/>
        </w:rPr>
        <w:t xml:space="preserve"> </w:t>
      </w:r>
      <w:r w:rsidR="006534B2">
        <w:rPr>
          <w:rFonts w:eastAsia="Times New Roman"/>
        </w:rPr>
        <w:t xml:space="preserve">the </w:t>
      </w:r>
      <w:r w:rsidR="00E9230E">
        <w:rPr>
          <w:rFonts w:eastAsia="Times New Roman"/>
        </w:rPr>
        <w:t xml:space="preserve">CCP Workgroup Outlines (which </w:t>
      </w:r>
      <w:r w:rsidR="0027152C">
        <w:rPr>
          <w:rFonts w:eastAsia="Times New Roman"/>
        </w:rPr>
        <w:t>have</w:t>
      </w:r>
      <w:r w:rsidR="00E9230E">
        <w:rPr>
          <w:rFonts w:eastAsia="Times New Roman"/>
        </w:rPr>
        <w:t xml:space="preserve"> not been officially adopted by the CCP EC or approved by the Board of Supervisors)</w:t>
      </w:r>
      <w:r>
        <w:rPr>
          <w:rFonts w:eastAsia="Times New Roman"/>
        </w:rPr>
        <w:t xml:space="preserve"> </w:t>
      </w:r>
      <w:r w:rsidR="0027152C">
        <w:rPr>
          <w:rFonts w:eastAsia="Times New Roman"/>
        </w:rPr>
        <w:t>define</w:t>
      </w:r>
      <w:r w:rsidR="00522BC8">
        <w:rPr>
          <w:rFonts w:eastAsia="Times New Roman"/>
        </w:rPr>
        <w:t xml:space="preserve"> </w:t>
      </w:r>
      <w:r w:rsidR="00110668">
        <w:rPr>
          <w:rFonts w:eastAsia="Times New Roman"/>
        </w:rPr>
        <w:t>the purpose</w:t>
      </w:r>
      <w:r w:rsidR="00886EAF">
        <w:rPr>
          <w:rFonts w:eastAsia="Times New Roman"/>
        </w:rPr>
        <w:t>,</w:t>
      </w:r>
      <w:r w:rsidR="00D73DC2">
        <w:rPr>
          <w:rFonts w:eastAsia="Times New Roman"/>
        </w:rPr>
        <w:t xml:space="preserve"> composition o</w:t>
      </w:r>
      <w:r w:rsidR="00522BC8">
        <w:rPr>
          <w:rFonts w:eastAsia="Times New Roman"/>
        </w:rPr>
        <w:t>r</w:t>
      </w:r>
      <w:r w:rsidR="00D73DC2">
        <w:rPr>
          <w:rFonts w:eastAsia="Times New Roman"/>
        </w:rPr>
        <w:t xml:space="preserve"> practices for </w:t>
      </w:r>
      <w:r w:rsidR="00110668">
        <w:rPr>
          <w:rFonts w:eastAsia="Times New Roman"/>
        </w:rPr>
        <w:t xml:space="preserve">any of our established </w:t>
      </w:r>
      <w:r w:rsidR="009B20D8">
        <w:rPr>
          <w:rFonts w:eastAsia="Times New Roman"/>
        </w:rPr>
        <w:t>w</w:t>
      </w:r>
      <w:r w:rsidR="00D73DC2">
        <w:rPr>
          <w:rFonts w:eastAsia="Times New Roman"/>
        </w:rPr>
        <w:t>orkgroups</w:t>
      </w:r>
      <w:r>
        <w:rPr>
          <w:rFonts w:eastAsia="Times New Roman"/>
        </w:rPr>
        <w:t xml:space="preserve">. </w:t>
      </w:r>
    </w:p>
    <w:p w14:paraId="041A7CC1" w14:textId="796D16DF" w:rsidR="001B7B7D" w:rsidRPr="001B7B7D" w:rsidRDefault="001B7B7D" w:rsidP="006C35F4">
      <w:pPr>
        <w:spacing w:line="252" w:lineRule="auto"/>
        <w:jc w:val="both"/>
        <w:rPr>
          <w:rFonts w:eastAsia="Times New Roman"/>
          <w:b/>
          <w:bCs/>
          <w:u w:val="single"/>
        </w:rPr>
      </w:pPr>
      <w:hyperlink r:id="rId5" w:history="1">
        <w:r w:rsidR="009B20D8">
          <w:rPr>
            <w:rStyle w:val="Hyperlink"/>
            <w:rFonts w:eastAsia="Times New Roman"/>
          </w:rPr>
          <w:t>Link to the CCP EC Policies and Procedures</w:t>
        </w:r>
      </w:hyperlink>
    </w:p>
    <w:p w14:paraId="05DDB2DA" w14:textId="02137DB4" w:rsidR="001B7B7D" w:rsidRDefault="00D73DC2" w:rsidP="006C35F4">
      <w:p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The Pro</w:t>
      </w:r>
      <w:r w:rsidR="00886EAF">
        <w:rPr>
          <w:rFonts w:eastAsia="Times New Roman"/>
        </w:rPr>
        <w:t>cess and Evaluation Workgroup ha</w:t>
      </w:r>
      <w:r w:rsidR="00393AFE">
        <w:rPr>
          <w:rFonts w:eastAsia="Times New Roman"/>
        </w:rPr>
        <w:t>s</w:t>
      </w:r>
      <w:r w:rsidR="00886EAF">
        <w:rPr>
          <w:rFonts w:eastAsia="Times New Roman"/>
        </w:rPr>
        <w:t xml:space="preserve"> </w:t>
      </w:r>
      <w:r w:rsidR="006C35F4" w:rsidRPr="006C35F4">
        <w:rPr>
          <w:rFonts w:eastAsia="Times New Roman"/>
        </w:rPr>
        <w:t xml:space="preserve">been asked to develop a list of recommendations  </w:t>
      </w:r>
      <w:r w:rsidR="001848FF">
        <w:rPr>
          <w:rFonts w:eastAsia="Times New Roman"/>
        </w:rPr>
        <w:t>the</w:t>
      </w:r>
      <w:r w:rsidR="006C35F4" w:rsidRPr="006C35F4">
        <w:rPr>
          <w:rFonts w:eastAsia="Times New Roman"/>
        </w:rPr>
        <w:t xml:space="preserve"> CCP EC could </w:t>
      </w:r>
      <w:r w:rsidR="00393AFE">
        <w:rPr>
          <w:rFonts w:eastAsia="Times New Roman"/>
        </w:rPr>
        <w:t>utilize</w:t>
      </w:r>
      <w:r w:rsidR="006C35F4" w:rsidRPr="006C35F4">
        <w:rPr>
          <w:rFonts w:eastAsia="Times New Roman"/>
        </w:rPr>
        <w:t xml:space="preserve"> if a </w:t>
      </w:r>
      <w:r w:rsidR="002A666A">
        <w:rPr>
          <w:rFonts w:eastAsia="Times New Roman"/>
        </w:rPr>
        <w:t>w</w:t>
      </w:r>
      <w:r w:rsidR="006C35F4" w:rsidRPr="006C35F4">
        <w:rPr>
          <w:rFonts w:eastAsia="Times New Roman"/>
        </w:rPr>
        <w:t>orkgroup</w:t>
      </w:r>
      <w:r w:rsidR="001848FF">
        <w:rPr>
          <w:rFonts w:eastAsia="Times New Roman"/>
        </w:rPr>
        <w:t>, committee etc.</w:t>
      </w:r>
      <w:r w:rsidR="006C35F4" w:rsidRPr="006C35F4">
        <w:rPr>
          <w:rFonts w:eastAsia="Times New Roman"/>
        </w:rPr>
        <w:t xml:space="preserve"> is unable to obtain a majority vote on a future issue. </w:t>
      </w:r>
    </w:p>
    <w:p w14:paraId="4A36357F" w14:textId="0E5D6CDE" w:rsidR="001B7B7D" w:rsidRPr="009669D7" w:rsidRDefault="00DE4657" w:rsidP="006C35F4">
      <w:pPr>
        <w:spacing w:line="252" w:lineRule="auto"/>
        <w:jc w:val="both"/>
        <w:rPr>
          <w:rFonts w:eastAsia="Times New Roman"/>
          <w:b/>
          <w:bCs/>
        </w:rPr>
      </w:pPr>
      <w:r w:rsidRPr="009669D7">
        <w:rPr>
          <w:rFonts w:eastAsia="Times New Roman"/>
          <w:b/>
          <w:bCs/>
        </w:rPr>
        <w:t>Things to consider:</w:t>
      </w:r>
    </w:p>
    <w:p w14:paraId="20E70ECE" w14:textId="38BEB66B" w:rsidR="009C0F40" w:rsidRDefault="00412581" w:rsidP="009C0F40">
      <w:pPr>
        <w:pStyle w:val="ListParagraph"/>
        <w:numPr>
          <w:ilvl w:val="0"/>
          <w:numId w:val="2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While t</w:t>
      </w:r>
      <w:r w:rsidR="009C0F40">
        <w:rPr>
          <w:rFonts w:eastAsia="Times New Roman"/>
        </w:rPr>
        <w:t xml:space="preserve">here is no mention of the role of </w:t>
      </w:r>
      <w:r w:rsidR="001848FF">
        <w:rPr>
          <w:rFonts w:eastAsia="Times New Roman"/>
        </w:rPr>
        <w:t xml:space="preserve">any </w:t>
      </w:r>
      <w:r w:rsidR="009C0F40">
        <w:rPr>
          <w:rFonts w:eastAsia="Times New Roman"/>
        </w:rPr>
        <w:t xml:space="preserve">CCP EC </w:t>
      </w:r>
      <w:r w:rsidR="0027152C">
        <w:rPr>
          <w:rFonts w:eastAsia="Times New Roman"/>
        </w:rPr>
        <w:t>w</w:t>
      </w:r>
      <w:r w:rsidR="009C0F40">
        <w:rPr>
          <w:rFonts w:eastAsia="Times New Roman"/>
        </w:rPr>
        <w:t xml:space="preserve">orkgroup </w:t>
      </w:r>
      <w:r w:rsidR="001848FF">
        <w:rPr>
          <w:rFonts w:eastAsia="Times New Roman"/>
        </w:rPr>
        <w:t>in the policies an</w:t>
      </w:r>
      <w:r w:rsidR="00AD73D1">
        <w:rPr>
          <w:rFonts w:eastAsia="Times New Roman"/>
        </w:rPr>
        <w:t>d procedures, a</w:t>
      </w:r>
      <w:r w:rsidR="009C0F40">
        <w:rPr>
          <w:rFonts w:eastAsia="Times New Roman"/>
        </w:rPr>
        <w:t xml:space="preserve"> reasonable person </w:t>
      </w:r>
      <w:r w:rsidR="009669D7">
        <w:rPr>
          <w:rFonts w:eastAsia="Times New Roman"/>
        </w:rPr>
        <w:t xml:space="preserve">may </w:t>
      </w:r>
      <w:r w:rsidR="009C0F40">
        <w:rPr>
          <w:rFonts w:eastAsia="Times New Roman"/>
        </w:rPr>
        <w:t xml:space="preserve">agree with </w:t>
      </w:r>
      <w:r w:rsidR="001848FF">
        <w:rPr>
          <w:rFonts w:eastAsia="Times New Roman"/>
        </w:rPr>
        <w:t xml:space="preserve">the current practices, </w:t>
      </w:r>
      <w:r w:rsidR="00277BDA">
        <w:rPr>
          <w:rFonts w:eastAsia="Times New Roman"/>
        </w:rPr>
        <w:t>even though</w:t>
      </w:r>
      <w:r w:rsidR="001848FF">
        <w:rPr>
          <w:rFonts w:eastAsia="Times New Roman"/>
        </w:rPr>
        <w:t xml:space="preserve"> no decision making authority is given to </w:t>
      </w:r>
      <w:r w:rsidR="009669D7">
        <w:rPr>
          <w:rFonts w:eastAsia="Times New Roman"/>
        </w:rPr>
        <w:t>w</w:t>
      </w:r>
      <w:r w:rsidR="001848FF">
        <w:rPr>
          <w:rFonts w:eastAsia="Times New Roman"/>
        </w:rPr>
        <w:t>orkgroups</w:t>
      </w:r>
      <w:r w:rsidR="009C0F40">
        <w:rPr>
          <w:rFonts w:eastAsia="Times New Roman"/>
        </w:rPr>
        <w:t>.</w:t>
      </w:r>
    </w:p>
    <w:p w14:paraId="70200E20" w14:textId="65229793" w:rsidR="0029169F" w:rsidRPr="00936183" w:rsidRDefault="00936183" w:rsidP="00936183">
      <w:pPr>
        <w:spacing w:line="252" w:lineRule="auto"/>
        <w:jc w:val="both"/>
        <w:rPr>
          <w:rFonts w:eastAsia="Times New Roman"/>
          <w:b/>
          <w:bCs/>
        </w:rPr>
      </w:pPr>
      <w:r w:rsidRPr="00936183">
        <w:rPr>
          <w:rFonts w:eastAsia="Times New Roman"/>
          <w:b/>
          <w:bCs/>
        </w:rPr>
        <w:t xml:space="preserve">Relevant </w:t>
      </w:r>
      <w:r w:rsidR="00C12731">
        <w:rPr>
          <w:rFonts w:eastAsia="Times New Roman"/>
          <w:b/>
          <w:bCs/>
        </w:rPr>
        <w:t>s</w:t>
      </w:r>
      <w:r w:rsidR="00992F87">
        <w:rPr>
          <w:rFonts w:eastAsia="Times New Roman"/>
          <w:b/>
          <w:bCs/>
        </w:rPr>
        <w:t>ections</w:t>
      </w:r>
      <w:r w:rsidR="00BC4974">
        <w:rPr>
          <w:rFonts w:eastAsia="Times New Roman"/>
          <w:b/>
          <w:bCs/>
        </w:rPr>
        <w:t xml:space="preserve"> of the </w:t>
      </w:r>
      <w:r w:rsidR="00992F87">
        <w:rPr>
          <w:rFonts w:eastAsia="Times New Roman"/>
          <w:b/>
          <w:bCs/>
        </w:rPr>
        <w:t xml:space="preserve"> </w:t>
      </w:r>
      <w:r w:rsidR="0029169F" w:rsidRPr="00936183">
        <w:rPr>
          <w:rFonts w:eastAsia="Times New Roman"/>
          <w:b/>
          <w:bCs/>
        </w:rPr>
        <w:t>Policies and Procedures</w:t>
      </w:r>
    </w:p>
    <w:p w14:paraId="029567CC" w14:textId="53F6DFA1" w:rsidR="0029169F" w:rsidRPr="0066453A" w:rsidRDefault="0029169F" w:rsidP="0029169F">
      <w:pPr>
        <w:spacing w:line="252" w:lineRule="auto"/>
        <w:ind w:left="360"/>
        <w:jc w:val="both"/>
        <w:rPr>
          <w:rFonts w:eastAsia="Times New Roman"/>
          <w:b/>
          <w:bCs/>
        </w:rPr>
      </w:pPr>
      <w:r w:rsidRPr="0066453A">
        <w:rPr>
          <w:rFonts w:eastAsia="Times New Roman"/>
          <w:b/>
          <w:bCs/>
        </w:rPr>
        <w:t>Referrals to Departments or Workgroups</w:t>
      </w:r>
    </w:p>
    <w:p w14:paraId="7C366604" w14:textId="4E8E987A" w:rsidR="009C0F40" w:rsidRDefault="00574C2E" w:rsidP="0029169F">
      <w:pPr>
        <w:pStyle w:val="ListParagraph"/>
        <w:numPr>
          <w:ilvl w:val="0"/>
          <w:numId w:val="2"/>
        </w:numPr>
        <w:spacing w:line="252" w:lineRule="auto"/>
        <w:jc w:val="both"/>
        <w:rPr>
          <w:rFonts w:eastAsia="Times New Roman"/>
        </w:rPr>
      </w:pPr>
      <w:r w:rsidRPr="00574C2E">
        <w:rPr>
          <w:rFonts w:eastAsia="Times New Roman"/>
        </w:rPr>
        <w:t>Preliminary staff work, such as introductory research, on an issue for an individual member may</w:t>
      </w:r>
      <w:r>
        <w:rPr>
          <w:rFonts w:eastAsia="Times New Roman"/>
        </w:rPr>
        <w:t xml:space="preserve"> </w:t>
      </w:r>
      <w:r w:rsidRPr="00574C2E">
        <w:rPr>
          <w:rFonts w:eastAsia="Times New Roman"/>
        </w:rPr>
        <w:t>be performed by a County department or workgroup, but extensive staff work, such as the</w:t>
      </w:r>
      <w:r w:rsidR="0029169F">
        <w:rPr>
          <w:rFonts w:eastAsia="Times New Roman"/>
        </w:rPr>
        <w:t xml:space="preserve"> </w:t>
      </w:r>
      <w:r w:rsidRPr="0029169F">
        <w:rPr>
          <w:rFonts w:eastAsia="Times New Roman"/>
        </w:rPr>
        <w:t>preparation of reports, and like items, shall only be carried out after approval by the CCP EC in</w:t>
      </w:r>
      <w:r w:rsidR="0029169F">
        <w:rPr>
          <w:rFonts w:eastAsia="Times New Roman"/>
        </w:rPr>
        <w:t xml:space="preserve"> </w:t>
      </w:r>
      <w:r w:rsidRPr="0029169F">
        <w:rPr>
          <w:rFonts w:eastAsia="Times New Roman"/>
        </w:rPr>
        <w:t xml:space="preserve">open session and referral to the County department or </w:t>
      </w:r>
      <w:r w:rsidR="0029169F">
        <w:rPr>
          <w:rFonts w:eastAsia="Times New Roman"/>
        </w:rPr>
        <w:t>W</w:t>
      </w:r>
      <w:r w:rsidRPr="0029169F">
        <w:rPr>
          <w:rFonts w:eastAsia="Times New Roman"/>
        </w:rPr>
        <w:t>orkgroup to undertake such work.</w:t>
      </w:r>
    </w:p>
    <w:p w14:paraId="05A64AFC" w14:textId="0D6B6902" w:rsidR="0029169F" w:rsidRPr="0066453A" w:rsidRDefault="0029169F" w:rsidP="0029169F">
      <w:pPr>
        <w:spacing w:line="252" w:lineRule="auto"/>
        <w:ind w:left="360"/>
        <w:jc w:val="both"/>
        <w:rPr>
          <w:rFonts w:eastAsia="Times New Roman"/>
          <w:b/>
          <w:bCs/>
        </w:rPr>
      </w:pPr>
      <w:r w:rsidRPr="0066453A">
        <w:rPr>
          <w:rFonts w:eastAsia="Times New Roman"/>
          <w:b/>
          <w:bCs/>
        </w:rPr>
        <w:t>Procurement</w:t>
      </w:r>
    </w:p>
    <w:p w14:paraId="7E6BD0E9" w14:textId="5E01B915" w:rsidR="0066453A" w:rsidRPr="00F10855" w:rsidRDefault="0029169F" w:rsidP="00F10855">
      <w:pPr>
        <w:pStyle w:val="ListParagraph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 w:rsidRPr="00F10855">
        <w:rPr>
          <w:rFonts w:eastAsia="Times New Roman"/>
        </w:rPr>
        <w:t>To facilitate the process by which a service provider may request and obtain AB 109 funding for such programs, the CCP EC has established a policy and procedure as set forth</w:t>
      </w:r>
      <w:r w:rsidR="0066453A" w:rsidRPr="00F10855">
        <w:rPr>
          <w:rFonts w:eastAsia="Times New Roman"/>
        </w:rPr>
        <w:t xml:space="preserve"> </w:t>
      </w:r>
      <w:r w:rsidRPr="00F10855">
        <w:rPr>
          <w:rFonts w:eastAsia="Times New Roman"/>
        </w:rPr>
        <w:t xml:space="preserve">in </w:t>
      </w:r>
      <w:r w:rsidR="0066453A" w:rsidRPr="00F10855">
        <w:rPr>
          <w:rFonts w:eastAsia="Times New Roman"/>
        </w:rPr>
        <w:t>Addendum A</w:t>
      </w:r>
      <w:r w:rsidR="00313501">
        <w:rPr>
          <w:rFonts w:eastAsia="Times New Roman"/>
        </w:rPr>
        <w:t>.</w:t>
      </w:r>
    </w:p>
    <w:p w14:paraId="4DD45645" w14:textId="40BAB288" w:rsidR="0066453A" w:rsidRPr="0066453A" w:rsidRDefault="00192FE5" w:rsidP="0066453A">
      <w:pPr>
        <w:spacing w:line="252" w:lineRule="auto"/>
        <w:ind w:left="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Relevant text</w:t>
      </w:r>
      <w:r w:rsidR="0066453A">
        <w:rPr>
          <w:rFonts w:eastAsia="Times New Roman"/>
          <w:b/>
          <w:bCs/>
        </w:rPr>
        <w:t xml:space="preserve"> </w:t>
      </w:r>
      <w:r w:rsidR="0066453A" w:rsidRPr="0066453A">
        <w:rPr>
          <w:rFonts w:eastAsia="Times New Roman"/>
          <w:b/>
          <w:bCs/>
        </w:rPr>
        <w:t>from Addendum A:</w:t>
      </w:r>
    </w:p>
    <w:p w14:paraId="3904E971" w14:textId="671488CE" w:rsidR="0066453A" w:rsidRPr="00192FE5" w:rsidRDefault="0066453A" w:rsidP="00192FE5">
      <w:pPr>
        <w:pStyle w:val="ListParagraph"/>
        <w:numPr>
          <w:ilvl w:val="0"/>
          <w:numId w:val="4"/>
        </w:numPr>
        <w:spacing w:line="252" w:lineRule="auto"/>
        <w:jc w:val="both"/>
        <w:rPr>
          <w:rFonts w:eastAsia="Times New Roman"/>
        </w:rPr>
      </w:pPr>
      <w:r w:rsidRPr="00192FE5">
        <w:rPr>
          <w:rFonts w:eastAsia="Times New Roman"/>
        </w:rPr>
        <w:t xml:space="preserve">Notwithstanding the </w:t>
      </w:r>
      <w:proofErr w:type="gramStart"/>
      <w:r w:rsidRPr="00192FE5">
        <w:rPr>
          <w:rFonts w:eastAsia="Times New Roman"/>
        </w:rPr>
        <w:t>aforementioned rules</w:t>
      </w:r>
      <w:proofErr w:type="gramEnd"/>
      <w:r w:rsidRPr="00192FE5">
        <w:rPr>
          <w:rFonts w:eastAsia="Times New Roman"/>
        </w:rPr>
        <w:t xml:space="preserve"> and procedures, ultimately the CCP EC retains the authority</w:t>
      </w:r>
      <w:r w:rsidR="00642D12" w:rsidRPr="00192FE5">
        <w:rPr>
          <w:rFonts w:eastAsia="Times New Roman"/>
        </w:rPr>
        <w:t xml:space="preserve"> to distribute AB 109 funds at its discretion.</w:t>
      </w:r>
    </w:p>
    <w:p w14:paraId="1F811913" w14:textId="0646A705" w:rsidR="0066453A" w:rsidRPr="00313501" w:rsidRDefault="0066453A" w:rsidP="00FE63F6">
      <w:pPr>
        <w:spacing w:line="252" w:lineRule="auto"/>
        <w:ind w:firstLine="360"/>
        <w:jc w:val="both"/>
        <w:rPr>
          <w:rFonts w:eastAsia="Times New Roman"/>
          <w:b/>
          <w:bCs/>
          <w:u w:val="single"/>
        </w:rPr>
      </w:pPr>
      <w:r w:rsidRPr="00313501">
        <w:rPr>
          <w:rFonts w:eastAsia="Times New Roman"/>
          <w:b/>
          <w:bCs/>
        </w:rPr>
        <w:t>See the manual for full Addendum</w:t>
      </w:r>
      <w:r w:rsidR="00313501" w:rsidRPr="00313501">
        <w:rPr>
          <w:rFonts w:eastAsia="Times New Roman"/>
          <w:b/>
          <w:bCs/>
        </w:rPr>
        <w:t>:</w:t>
      </w:r>
      <w:r w:rsidR="00313501">
        <w:rPr>
          <w:rFonts w:eastAsia="Times New Roman"/>
        </w:rPr>
        <w:t xml:space="preserve"> </w:t>
      </w:r>
      <w:hyperlink r:id="rId6" w:history="1">
        <w:r w:rsidR="000C463D">
          <w:rPr>
            <w:rStyle w:val="Hyperlink"/>
            <w:rFonts w:eastAsia="Times New Roman"/>
          </w:rPr>
          <w:t>Link to the CCP EC Policies and Procedures</w:t>
        </w:r>
      </w:hyperlink>
    </w:p>
    <w:p w14:paraId="487A8A6B" w14:textId="4A97F01E" w:rsidR="00642D12" w:rsidRPr="00E336EF" w:rsidRDefault="00642D12" w:rsidP="0066453A">
      <w:pPr>
        <w:spacing w:line="252" w:lineRule="auto"/>
        <w:ind w:left="360"/>
        <w:jc w:val="both"/>
        <w:rPr>
          <w:rFonts w:eastAsia="Times New Roman"/>
          <w:b/>
          <w:bCs/>
        </w:rPr>
      </w:pPr>
      <w:r w:rsidRPr="00E336EF">
        <w:rPr>
          <w:rFonts w:eastAsia="Times New Roman"/>
          <w:b/>
          <w:bCs/>
        </w:rPr>
        <w:t>Initial Suggestions</w:t>
      </w:r>
      <w:r w:rsidR="00E336EF" w:rsidRPr="00E336EF">
        <w:rPr>
          <w:rFonts w:eastAsia="Times New Roman"/>
          <w:b/>
          <w:bCs/>
        </w:rPr>
        <w:t xml:space="preserve"> for Discussion</w:t>
      </w:r>
    </w:p>
    <w:p w14:paraId="6B798529" w14:textId="1DE2BF79" w:rsidR="00642D12" w:rsidRDefault="00642D12" w:rsidP="00642D12">
      <w:pPr>
        <w:pStyle w:val="ListParagraph"/>
        <w:numPr>
          <w:ilvl w:val="0"/>
          <w:numId w:val="2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When a majority </w:t>
      </w:r>
      <w:r w:rsidR="001848FF">
        <w:rPr>
          <w:rFonts w:eastAsia="Times New Roman"/>
        </w:rPr>
        <w:t xml:space="preserve">or consensus conclusion </w:t>
      </w:r>
      <w:r>
        <w:rPr>
          <w:rFonts w:eastAsia="Times New Roman"/>
        </w:rPr>
        <w:t xml:space="preserve">is not reached in any workgroup, committee etc. making recommendations to the CCP EC, a brief synopsis of the discussion is given </w:t>
      </w:r>
      <w:r w:rsidR="00936183">
        <w:rPr>
          <w:rFonts w:eastAsia="Times New Roman"/>
        </w:rPr>
        <w:t xml:space="preserve">to the CCP EC </w:t>
      </w:r>
      <w:r w:rsidR="001848FF">
        <w:rPr>
          <w:rFonts w:eastAsia="Times New Roman"/>
        </w:rPr>
        <w:t>at a subsequent meeting;</w:t>
      </w:r>
      <w:r>
        <w:rPr>
          <w:rFonts w:eastAsia="Times New Roman"/>
        </w:rPr>
        <w:t xml:space="preserve"> by majority vote </w:t>
      </w:r>
      <w:r w:rsidR="00CF47CD">
        <w:rPr>
          <w:rFonts w:eastAsia="Times New Roman"/>
        </w:rPr>
        <w:t>the</w:t>
      </w:r>
      <w:r>
        <w:rPr>
          <w:rFonts w:eastAsia="Times New Roman"/>
        </w:rPr>
        <w:t xml:space="preserve"> </w:t>
      </w:r>
      <w:r w:rsidR="001848FF">
        <w:rPr>
          <w:rFonts w:eastAsia="Times New Roman"/>
        </w:rPr>
        <w:t xml:space="preserve">EC </w:t>
      </w:r>
      <w:r>
        <w:rPr>
          <w:rFonts w:eastAsia="Times New Roman"/>
        </w:rPr>
        <w:t>decide</w:t>
      </w:r>
      <w:r w:rsidR="00CF47CD">
        <w:rPr>
          <w:rFonts w:eastAsia="Times New Roman"/>
        </w:rPr>
        <w:t>s</w:t>
      </w:r>
      <w:r>
        <w:rPr>
          <w:rFonts w:eastAsia="Times New Roman"/>
        </w:rPr>
        <w:t xml:space="preserve"> if the issue merits further </w:t>
      </w:r>
      <w:r>
        <w:rPr>
          <w:rFonts w:eastAsia="Times New Roman"/>
        </w:rPr>
        <w:lastRenderedPageBreak/>
        <w:t xml:space="preserve">discussion which may include </w:t>
      </w:r>
      <w:r w:rsidR="00936183">
        <w:rPr>
          <w:rFonts w:eastAsia="Times New Roman"/>
        </w:rPr>
        <w:t>a</w:t>
      </w:r>
      <w:r>
        <w:rPr>
          <w:rFonts w:eastAsia="Times New Roman"/>
        </w:rPr>
        <w:t xml:space="preserve"> vote on the issue as </w:t>
      </w:r>
      <w:r w:rsidR="00192FE5">
        <w:rPr>
          <w:rFonts w:eastAsia="Times New Roman"/>
        </w:rPr>
        <w:t xml:space="preserve">it </w:t>
      </w:r>
      <w:r w:rsidR="00936183">
        <w:rPr>
          <w:rFonts w:eastAsia="Times New Roman"/>
        </w:rPr>
        <w:t xml:space="preserve">was presented to the </w:t>
      </w:r>
      <w:r w:rsidR="001848FF">
        <w:rPr>
          <w:rFonts w:eastAsia="Times New Roman"/>
        </w:rPr>
        <w:t xml:space="preserve">initial </w:t>
      </w:r>
      <w:r w:rsidR="00936183">
        <w:rPr>
          <w:rFonts w:eastAsia="Times New Roman"/>
        </w:rPr>
        <w:t>committee or workgroup.</w:t>
      </w:r>
      <w:r>
        <w:rPr>
          <w:rFonts w:eastAsia="Times New Roman"/>
        </w:rPr>
        <w:t xml:space="preserve"> </w:t>
      </w:r>
    </w:p>
    <w:p w14:paraId="2E4D3F47" w14:textId="400D59B6" w:rsidR="007008FD" w:rsidRDefault="007008FD" w:rsidP="00642D12">
      <w:pPr>
        <w:pStyle w:val="ListParagraph"/>
        <w:numPr>
          <w:ilvl w:val="0"/>
          <w:numId w:val="2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Develop and approve language to</w:t>
      </w:r>
      <w:r w:rsidR="00192FE5">
        <w:rPr>
          <w:rFonts w:eastAsia="Times New Roman"/>
        </w:rPr>
        <w:t xml:space="preserve"> include in</w:t>
      </w:r>
      <w:r>
        <w:rPr>
          <w:rFonts w:eastAsia="Times New Roman"/>
        </w:rPr>
        <w:t xml:space="preserve"> the Policies and Procedures</w:t>
      </w:r>
      <w:r w:rsidR="008503D7">
        <w:rPr>
          <w:rFonts w:eastAsia="Times New Roman"/>
        </w:rPr>
        <w:t xml:space="preserve"> </w:t>
      </w:r>
      <w:r>
        <w:rPr>
          <w:rFonts w:eastAsia="Times New Roman"/>
        </w:rPr>
        <w:t xml:space="preserve">that </w:t>
      </w:r>
      <w:r w:rsidR="0027152C">
        <w:rPr>
          <w:rFonts w:eastAsia="Times New Roman"/>
        </w:rPr>
        <w:t>define</w:t>
      </w:r>
      <w:r>
        <w:rPr>
          <w:rFonts w:eastAsia="Times New Roman"/>
        </w:rPr>
        <w:t xml:space="preserve"> the </w:t>
      </w:r>
      <w:r w:rsidR="00FB6694">
        <w:rPr>
          <w:rFonts w:eastAsia="Times New Roman"/>
        </w:rPr>
        <w:t xml:space="preserve">responsibilities and practices of the workgroups. </w:t>
      </w:r>
    </w:p>
    <w:p w14:paraId="47F27020" w14:textId="43D4685A" w:rsidR="00936183" w:rsidRDefault="00936183" w:rsidP="00642D12">
      <w:pPr>
        <w:pStyle w:val="ListParagraph"/>
        <w:numPr>
          <w:ilvl w:val="0"/>
          <w:numId w:val="2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Workgroups consisting of an even number of members add an additional member to </w:t>
      </w:r>
      <w:r w:rsidR="001848FF">
        <w:rPr>
          <w:rFonts w:eastAsia="Times New Roman"/>
        </w:rPr>
        <w:t>alleviate</w:t>
      </w:r>
      <w:r>
        <w:rPr>
          <w:rFonts w:eastAsia="Times New Roman"/>
        </w:rPr>
        <w:t xml:space="preserve"> the possibility of a tie when all members are present. </w:t>
      </w:r>
    </w:p>
    <w:p w14:paraId="00608F3C" w14:textId="2C1E37C2" w:rsidR="006C35F4" w:rsidRPr="001848FF" w:rsidRDefault="00936183" w:rsidP="001848FF">
      <w:pPr>
        <w:pStyle w:val="ListParagraph"/>
        <w:numPr>
          <w:ilvl w:val="0"/>
          <w:numId w:val="2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A tie vote at the committee/workgroup level shall not constitute a failure of the motion.</w:t>
      </w:r>
    </w:p>
    <w:sectPr w:rsidR="006C35F4" w:rsidRPr="001848FF" w:rsidSect="00E92C08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6BD"/>
    <w:multiLevelType w:val="hybridMultilevel"/>
    <w:tmpl w:val="83421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62450A"/>
    <w:multiLevelType w:val="hybridMultilevel"/>
    <w:tmpl w:val="AB8E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1EA"/>
    <w:multiLevelType w:val="hybridMultilevel"/>
    <w:tmpl w:val="F4D63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F77E12"/>
    <w:multiLevelType w:val="hybridMultilevel"/>
    <w:tmpl w:val="BF72F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2820844">
    <w:abstractNumId w:val="0"/>
  </w:num>
  <w:num w:numId="2" w16cid:durableId="1147433185">
    <w:abstractNumId w:val="1"/>
  </w:num>
  <w:num w:numId="3" w16cid:durableId="1798448999">
    <w:abstractNumId w:val="3"/>
  </w:num>
  <w:num w:numId="4" w16cid:durableId="47507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4"/>
    <w:rsid w:val="00095E4A"/>
    <w:rsid w:val="000A5787"/>
    <w:rsid w:val="000C463D"/>
    <w:rsid w:val="000C568B"/>
    <w:rsid w:val="00110668"/>
    <w:rsid w:val="001848FF"/>
    <w:rsid w:val="001902D5"/>
    <w:rsid w:val="00192FE5"/>
    <w:rsid w:val="001B7B7D"/>
    <w:rsid w:val="0027152C"/>
    <w:rsid w:val="00277BDA"/>
    <w:rsid w:val="0029169F"/>
    <w:rsid w:val="002A666A"/>
    <w:rsid w:val="00313501"/>
    <w:rsid w:val="00393AFE"/>
    <w:rsid w:val="00412581"/>
    <w:rsid w:val="00522BC8"/>
    <w:rsid w:val="00574C2E"/>
    <w:rsid w:val="00642D12"/>
    <w:rsid w:val="006534B2"/>
    <w:rsid w:val="0066453A"/>
    <w:rsid w:val="006C35F4"/>
    <w:rsid w:val="007008FD"/>
    <w:rsid w:val="00705127"/>
    <w:rsid w:val="00705EF6"/>
    <w:rsid w:val="007B6945"/>
    <w:rsid w:val="007C3CE1"/>
    <w:rsid w:val="008503D7"/>
    <w:rsid w:val="00886EAF"/>
    <w:rsid w:val="00936183"/>
    <w:rsid w:val="009414D5"/>
    <w:rsid w:val="009669D7"/>
    <w:rsid w:val="00992F87"/>
    <w:rsid w:val="009B20D8"/>
    <w:rsid w:val="009C0F40"/>
    <w:rsid w:val="00A06696"/>
    <w:rsid w:val="00AD73D1"/>
    <w:rsid w:val="00B266BD"/>
    <w:rsid w:val="00B51B5C"/>
    <w:rsid w:val="00BC4974"/>
    <w:rsid w:val="00BD71B2"/>
    <w:rsid w:val="00C12731"/>
    <w:rsid w:val="00C65737"/>
    <w:rsid w:val="00CF47CD"/>
    <w:rsid w:val="00D13D52"/>
    <w:rsid w:val="00D1734A"/>
    <w:rsid w:val="00D73DC2"/>
    <w:rsid w:val="00DB479E"/>
    <w:rsid w:val="00DE4657"/>
    <w:rsid w:val="00E336EF"/>
    <w:rsid w:val="00E9230E"/>
    <w:rsid w:val="00E92C08"/>
    <w:rsid w:val="00EC6FAB"/>
    <w:rsid w:val="00EE6E81"/>
    <w:rsid w:val="00F10855"/>
    <w:rsid w:val="00FB6694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0822"/>
  <w15:chartTrackingRefBased/>
  <w15:docId w15:val="{0A7754F8-E828-496E-B171-E94E66A0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01"/>
  </w:style>
  <w:style w:type="paragraph" w:styleId="Heading1">
    <w:name w:val="heading 1"/>
    <w:basedOn w:val="Normal"/>
    <w:next w:val="Normal"/>
    <w:link w:val="Heading1Char"/>
    <w:uiPriority w:val="9"/>
    <w:qFormat/>
    <w:rsid w:val="006C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5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B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bation.acgov.org/probation-assets/files/CCPEC%20Policies_Procedures%20Updated%20AIR_2025.pdf" TargetMode="External"/><Relationship Id="rId5" Type="http://schemas.openxmlformats.org/officeDocument/2006/relationships/hyperlink" Target="https://probation.acgov.org/probation-assets/files/CCPEC%20Policies_Procedures%20Updated%20AIR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425</Words>
  <Characters>2547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44</cp:revision>
  <dcterms:created xsi:type="dcterms:W3CDTF">2026-01-28T20:09:00Z</dcterms:created>
  <dcterms:modified xsi:type="dcterms:W3CDTF">2026-01-29T18:37:00Z</dcterms:modified>
</cp:coreProperties>
</file>